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45" w:rsidRDefault="002E7245" w:rsidP="002E7245">
      <w:pPr>
        <w:spacing w:afterLines="100" w:after="360"/>
        <w:jc w:val="center"/>
        <w:rPr>
          <w:rFonts w:ascii="微軟正黑體" w:eastAsia="微軟正黑體" w:hAnsi="微軟正黑體" w:cs="微軟正黑體"/>
          <w:b/>
          <w:bCs/>
          <w:sz w:val="36"/>
          <w:szCs w:val="36"/>
        </w:rPr>
      </w:pPr>
      <w:r w:rsidRPr="00393A34">
        <w:rPr>
          <w:rFonts w:ascii="微軟正黑體" w:eastAsia="微軟正黑體" w:hAnsi="微軟正黑體" w:hint="eastAsia"/>
          <w:sz w:val="36"/>
          <w:szCs w:val="36"/>
        </w:rPr>
        <w:t>「</w:t>
      </w:r>
      <w:r w:rsidRPr="00393A34">
        <w:rPr>
          <w:rFonts w:ascii="微軟正黑體" w:eastAsia="微軟正黑體" w:hAnsi="微軟正黑體" w:cs="微軟正黑體" w:hint="eastAsia"/>
          <w:b/>
          <w:bCs/>
          <w:sz w:val="36"/>
          <w:szCs w:val="36"/>
        </w:rPr>
        <w:t>都市與計劃</w:t>
      </w:r>
      <w:r w:rsidRPr="00393A34">
        <w:rPr>
          <w:rFonts w:ascii="微軟正黑體" w:eastAsia="微軟正黑體" w:hAnsi="微軟正黑體" w:hint="eastAsia"/>
          <w:sz w:val="36"/>
          <w:szCs w:val="36"/>
        </w:rPr>
        <w:t>」</w:t>
      </w:r>
      <w:r w:rsidRPr="00393A34">
        <w:rPr>
          <w:rFonts w:ascii="微軟正黑體" w:eastAsia="微軟正黑體" w:hAnsi="微軟正黑體" w:cs="微軟正黑體" w:hint="eastAsia"/>
          <w:b/>
          <w:bCs/>
          <w:sz w:val="36"/>
          <w:szCs w:val="36"/>
        </w:rPr>
        <w:t>特刊徵稿</w:t>
      </w:r>
    </w:p>
    <w:p w:rsidR="002E7245" w:rsidRDefault="002E7245" w:rsidP="002E7245">
      <w:pPr>
        <w:spacing w:afterLines="20" w:after="72" w:line="400" w:lineRule="exact"/>
        <w:jc w:val="both"/>
        <w:rPr>
          <w:rFonts w:ascii="標楷體" w:eastAsia="標楷體" w:cs="標楷體"/>
          <w:color w:val="000000" w:themeColor="text1"/>
          <w:kern w:val="0"/>
          <w:szCs w:val="24"/>
        </w:rPr>
      </w:pPr>
      <w:r w:rsidRPr="00DA64FF">
        <w:rPr>
          <w:rFonts w:ascii="微軟正黑體" w:eastAsia="微軟正黑體" w:hAnsi="微軟正黑體" w:cs="DFHeiBold-B5"/>
          <w:b/>
          <w:color w:val="000000"/>
          <w:kern w:val="0"/>
          <w:sz w:val="26"/>
          <w:szCs w:val="26"/>
        </w:rPr>
        <w:t>特刊主題：</w:t>
      </w:r>
      <w:r w:rsidRPr="00823315">
        <w:rPr>
          <w:rFonts w:ascii="微軟正黑體" w:eastAsia="微軟正黑體" w:hAnsi="微軟正黑體" w:cs="DFHeiBold-B5" w:hint="eastAsia"/>
          <w:b/>
          <w:color w:val="000000"/>
          <w:kern w:val="0"/>
          <w:sz w:val="26"/>
          <w:szCs w:val="26"/>
        </w:rPr>
        <w:t>永續性的治理</w:t>
      </w:r>
      <w:r w:rsidRPr="00F43B0F">
        <w:rPr>
          <w:rFonts w:ascii="標楷體" w:eastAsia="標楷體" w:cs="標楷體" w:hint="eastAsia"/>
          <w:color w:val="000000" w:themeColor="text1"/>
          <w:kern w:val="0"/>
          <w:szCs w:val="24"/>
        </w:rPr>
        <w:t>／</w:t>
      </w:r>
      <w:r w:rsidRPr="00823315">
        <w:rPr>
          <w:rFonts w:ascii="微軟正黑體" w:eastAsia="微軟正黑體" w:hAnsi="微軟正黑體" w:cs="DFHeiBold-B5" w:hint="eastAsia"/>
          <w:b/>
          <w:color w:val="000000"/>
          <w:kern w:val="0"/>
          <w:sz w:val="26"/>
          <w:szCs w:val="26"/>
        </w:rPr>
        <w:t>治理的永續性</w:t>
      </w:r>
    </w:p>
    <w:p w:rsidR="002E7245" w:rsidRPr="00DA64FF" w:rsidRDefault="002E7245" w:rsidP="002E7245">
      <w:pPr>
        <w:spacing w:afterLines="20" w:after="72" w:line="400" w:lineRule="exact"/>
        <w:jc w:val="both"/>
        <w:rPr>
          <w:rFonts w:ascii="微軟正黑體" w:eastAsia="微軟正黑體" w:hAnsi="微軟正黑體" w:cs="DFHeiBold-B5"/>
          <w:b/>
          <w:color w:val="000000"/>
          <w:kern w:val="0"/>
          <w:sz w:val="26"/>
          <w:szCs w:val="26"/>
        </w:rPr>
      </w:pPr>
      <w:r>
        <w:rPr>
          <w:rFonts w:ascii="微軟正黑體" w:eastAsia="微軟正黑體" w:hAnsi="微軟正黑體" w:cs="DFHeiBold-B5"/>
          <w:b/>
          <w:color w:val="000000"/>
          <w:kern w:val="0"/>
          <w:sz w:val="26"/>
          <w:szCs w:val="26"/>
        </w:rPr>
        <w:t>特</w:t>
      </w:r>
      <w:r>
        <w:rPr>
          <w:rFonts w:ascii="微軟正黑體" w:eastAsia="微軟正黑體" w:hAnsi="微軟正黑體" w:cs="DFHeiBold-B5" w:hint="eastAsia"/>
          <w:b/>
          <w:color w:val="000000"/>
          <w:kern w:val="0"/>
          <w:sz w:val="26"/>
          <w:szCs w:val="26"/>
        </w:rPr>
        <w:t>約</w:t>
      </w:r>
      <w:r w:rsidRPr="00DA64FF">
        <w:rPr>
          <w:rFonts w:ascii="微軟正黑體" w:eastAsia="微軟正黑體" w:hAnsi="微軟正黑體" w:cs="DFHeiBold-B5" w:hint="eastAsia"/>
          <w:b/>
          <w:color w:val="000000"/>
          <w:kern w:val="0"/>
          <w:sz w:val="26"/>
          <w:szCs w:val="26"/>
        </w:rPr>
        <w:t>主編</w:t>
      </w:r>
      <w:r w:rsidRPr="00DA64FF">
        <w:rPr>
          <w:rFonts w:ascii="微軟正黑體" w:eastAsia="微軟正黑體" w:hAnsi="微軟正黑體" w:cs="DFHeiBold-B5"/>
          <w:b/>
          <w:color w:val="000000"/>
          <w:kern w:val="0"/>
          <w:sz w:val="26"/>
          <w:szCs w:val="26"/>
        </w:rPr>
        <w:t>：</w:t>
      </w:r>
      <w:r w:rsidRPr="00823315">
        <w:rPr>
          <w:rFonts w:ascii="微軟正黑體" w:eastAsia="微軟正黑體" w:hAnsi="微軟正黑體" w:cs="DFHeiBold-B5" w:hint="eastAsia"/>
          <w:b/>
          <w:color w:val="000000"/>
          <w:kern w:val="0"/>
          <w:sz w:val="26"/>
          <w:szCs w:val="26"/>
        </w:rPr>
        <w:t>林文一</w:t>
      </w:r>
      <w:r w:rsidRPr="00DA64FF">
        <w:rPr>
          <w:rFonts w:ascii="微軟正黑體" w:eastAsia="微軟正黑體" w:hAnsi="微軟正黑體" w:cs="DFHeiBold-B5" w:hint="eastAsia"/>
          <w:b/>
          <w:color w:val="000000"/>
          <w:kern w:val="0"/>
          <w:sz w:val="26"/>
          <w:szCs w:val="26"/>
        </w:rPr>
        <w:t>教授</w:t>
      </w:r>
      <w:r w:rsidRPr="00F43B0F">
        <w:rPr>
          <w:rFonts w:ascii="標楷體" w:eastAsia="標楷體" w:cs="標楷體" w:hint="eastAsia"/>
          <w:color w:val="000000" w:themeColor="text1"/>
          <w:kern w:val="0"/>
          <w:szCs w:val="24"/>
        </w:rPr>
        <w:t>／</w:t>
      </w:r>
      <w:r w:rsidRPr="00823315">
        <w:rPr>
          <w:rFonts w:ascii="微軟正黑體" w:eastAsia="微軟正黑體" w:hAnsi="微軟正黑體" w:cs="DFHeiBold-B5" w:hint="eastAsia"/>
          <w:b/>
          <w:color w:val="000000"/>
          <w:kern w:val="0"/>
          <w:sz w:val="26"/>
          <w:szCs w:val="26"/>
        </w:rPr>
        <w:t>國立臺北大學都市計劃研究所</w:t>
      </w:r>
    </w:p>
    <w:p w:rsidR="002E7245" w:rsidRPr="00DA64FF" w:rsidRDefault="002E7245" w:rsidP="002E7245">
      <w:pPr>
        <w:spacing w:afterLines="100" w:after="360" w:line="400" w:lineRule="exact"/>
        <w:jc w:val="both"/>
        <w:rPr>
          <w:rFonts w:ascii="微軟正黑體" w:eastAsia="微軟正黑體" w:hAnsi="微軟正黑體" w:cs="DFHeiBold-B5"/>
          <w:b/>
          <w:color w:val="000000"/>
          <w:kern w:val="0"/>
          <w:sz w:val="26"/>
          <w:szCs w:val="26"/>
        </w:rPr>
      </w:pPr>
      <w:r w:rsidRPr="00DA64FF">
        <w:rPr>
          <w:rFonts w:ascii="微軟正黑體" w:eastAsia="微軟正黑體" w:hAnsi="微軟正黑體" w:cs="DFHeiBold-B5" w:hint="eastAsia"/>
          <w:b/>
          <w:color w:val="000000"/>
          <w:kern w:val="0"/>
          <w:sz w:val="26"/>
          <w:szCs w:val="26"/>
        </w:rPr>
        <w:t xml:space="preserve">          </w:t>
      </w:r>
      <w:r w:rsidRPr="00823315">
        <w:rPr>
          <w:rFonts w:ascii="微軟正黑體" w:eastAsia="微軟正黑體" w:hAnsi="微軟正黑體" w:cs="DFHeiBold-B5" w:hint="eastAsia"/>
          <w:b/>
          <w:color w:val="000000"/>
          <w:kern w:val="0"/>
          <w:sz w:val="26"/>
          <w:szCs w:val="26"/>
        </w:rPr>
        <w:t>張容瑛</w:t>
      </w:r>
      <w:r>
        <w:rPr>
          <w:rFonts w:ascii="SimSun" w:eastAsia="SimSun" w:hAnsi="SimSun" w:cs="DFHeiBold-B5" w:hint="eastAsia"/>
          <w:b/>
          <w:color w:val="000000"/>
          <w:kern w:val="0"/>
          <w:sz w:val="26"/>
          <w:szCs w:val="26"/>
        </w:rPr>
        <w:t>副</w:t>
      </w:r>
      <w:r w:rsidRPr="00DA64FF">
        <w:rPr>
          <w:rFonts w:ascii="微軟正黑體" w:eastAsia="微軟正黑體" w:hAnsi="微軟正黑體" w:cs="DFHeiBold-B5" w:hint="eastAsia"/>
          <w:b/>
          <w:color w:val="000000"/>
          <w:kern w:val="0"/>
          <w:sz w:val="26"/>
          <w:szCs w:val="26"/>
        </w:rPr>
        <w:t>教授</w:t>
      </w:r>
      <w:r w:rsidRPr="00F43B0F">
        <w:rPr>
          <w:rFonts w:ascii="標楷體" w:eastAsia="標楷體" w:cs="標楷體" w:hint="eastAsia"/>
          <w:color w:val="000000" w:themeColor="text1"/>
          <w:kern w:val="0"/>
          <w:szCs w:val="24"/>
        </w:rPr>
        <w:t>／</w:t>
      </w:r>
      <w:r w:rsidRPr="00823315">
        <w:rPr>
          <w:rFonts w:ascii="微軟正黑體" w:eastAsia="微軟正黑體" w:hAnsi="微軟正黑體" w:cs="DFHeiBold-B5" w:hint="eastAsia"/>
          <w:b/>
          <w:color w:val="000000"/>
          <w:kern w:val="0"/>
          <w:sz w:val="26"/>
          <w:szCs w:val="26"/>
        </w:rPr>
        <w:t>國立臺北大學都市計劃研究所</w:t>
      </w:r>
    </w:p>
    <w:p w:rsidR="002E7245" w:rsidRPr="00393A34" w:rsidRDefault="002E7245" w:rsidP="002E7245">
      <w:pPr>
        <w:spacing w:afterLines="100" w:after="360" w:line="400" w:lineRule="exact"/>
        <w:jc w:val="both"/>
        <w:rPr>
          <w:rFonts w:ascii="Times New Roman" w:eastAsia="標楷體" w:hAnsi="Times New Roman" w:cs="Times New Roman"/>
        </w:rPr>
      </w:pPr>
      <w:r w:rsidRPr="00393A34"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/>
        </w:rPr>
        <w:t>本期刊榮獲</w:t>
      </w:r>
      <w:r>
        <w:rPr>
          <w:rFonts w:ascii="Times New Roman" w:eastAsia="標楷體" w:hAnsi="Times New Roman" w:cs="Times New Roman" w:hint="eastAsia"/>
        </w:rPr>
        <w:t>國科會</w:t>
      </w:r>
      <w:r>
        <w:rPr>
          <w:rFonts w:ascii="Times New Roman" w:eastAsia="標楷體" w:hAnsi="Times New Roman" w:cs="Times New Roman"/>
        </w:rPr>
        <w:t>人文社會科學研究中心</w:t>
      </w:r>
      <w:r>
        <w:rPr>
          <w:rFonts w:ascii="Times New Roman" w:eastAsia="標楷體" w:hAnsi="Times New Roman" w:cs="Times New Roman" w:hint="eastAsia"/>
        </w:rPr>
        <w:t>：</w:t>
      </w:r>
      <w:r w:rsidRPr="00393A34">
        <w:rPr>
          <w:rFonts w:ascii="Times New Roman" w:eastAsia="標楷體" w:hAnsi="Times New Roman" w:cs="Times New Roman"/>
        </w:rPr>
        <w:t>「臺灣人文及社會科學期刊評比暨核心期刊」</w:t>
      </w:r>
      <w:r w:rsidRPr="00507FEB">
        <w:rPr>
          <w:rFonts w:ascii="Times New Roman" w:eastAsia="標楷體" w:hAnsi="Times New Roman" w:cs="Times New Roman"/>
          <w:b/>
        </w:rPr>
        <w:t>收錄為</w:t>
      </w:r>
      <w:r w:rsidRPr="00507FEB">
        <w:rPr>
          <w:rFonts w:ascii="Times New Roman" w:eastAsia="標楷體" w:hAnsi="Times New Roman" w:cs="Times New Roman"/>
          <w:b/>
        </w:rPr>
        <w:t>TSSCI</w:t>
      </w:r>
      <w:r w:rsidRPr="00507FEB">
        <w:rPr>
          <w:rFonts w:ascii="Times New Roman" w:eastAsia="標楷體" w:hAnsi="Times New Roman" w:cs="Times New Roman"/>
          <w:b/>
        </w:rPr>
        <w:t>期刊</w:t>
      </w:r>
      <w:r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並</w:t>
      </w:r>
      <w:r w:rsidRPr="00393A34">
        <w:rPr>
          <w:rFonts w:ascii="Times New Roman" w:eastAsia="標楷體" w:hAnsi="Times New Roman" w:cs="Times New Roman"/>
        </w:rPr>
        <w:t>在</w:t>
      </w:r>
      <w:r>
        <w:rPr>
          <w:rFonts w:ascii="Times New Roman" w:eastAsia="標楷體" w:hAnsi="Times New Roman" w:cs="Times New Roman"/>
        </w:rPr>
        <w:t>2023</w:t>
      </w:r>
      <w:r w:rsidRPr="00393A34">
        <w:rPr>
          <w:rFonts w:ascii="Times New Roman" w:eastAsia="標楷體" w:hAnsi="Times New Roman" w:cs="Times New Roman"/>
        </w:rPr>
        <w:t>年</w:t>
      </w:r>
      <w:r w:rsidRPr="00823315">
        <w:rPr>
          <w:rFonts w:ascii="Times New Roman" w:eastAsia="標楷體" w:hAnsi="Times New Roman" w:cs="Times New Roman" w:hint="eastAsia"/>
        </w:rPr>
        <w:t>再獲得</w:t>
      </w:r>
      <w:r w:rsidRPr="00393A34">
        <w:rPr>
          <w:rFonts w:ascii="Times New Roman" w:eastAsia="標楷體" w:hAnsi="Times New Roman" w:cs="Times New Roman"/>
        </w:rPr>
        <w:t>區域研究及地理學門期刊評比結果中，</w:t>
      </w:r>
      <w:r w:rsidRPr="00823315">
        <w:rPr>
          <w:rFonts w:ascii="Times New Roman" w:eastAsia="標楷體" w:hAnsi="Times New Roman" w:cs="Times New Roman"/>
        </w:rPr>
        <w:t>列為</w:t>
      </w:r>
      <w:r w:rsidRPr="00823315">
        <w:rPr>
          <w:rFonts w:ascii="Times New Roman" w:eastAsia="標楷體" w:hAnsi="Times New Roman" w:cs="Times New Roman"/>
          <w:b/>
        </w:rPr>
        <w:t>第一級期刊</w:t>
      </w:r>
      <w:r w:rsidRPr="00393A34">
        <w:rPr>
          <w:rFonts w:ascii="Times New Roman" w:eastAsia="標楷體" w:hAnsi="Times New Roman" w:cs="Times New Roman"/>
        </w:rPr>
        <w:t>。本刊文章全文可在華藝線上圖書館、凌網科技、思博網及遠流智慧藏下載，研究成果能見度高。</w:t>
      </w:r>
    </w:p>
    <w:p w:rsidR="002E7245" w:rsidRPr="000C5F13" w:rsidRDefault="002E7245" w:rsidP="002E7245">
      <w:pPr>
        <w:pStyle w:val="a7"/>
        <w:numPr>
          <w:ilvl w:val="0"/>
          <w:numId w:val="1"/>
        </w:numPr>
        <w:spacing w:afterLines="50" w:after="180" w:line="400" w:lineRule="exact"/>
        <w:ind w:leftChars="0"/>
        <w:jc w:val="both"/>
        <w:rPr>
          <w:rFonts w:ascii="微軟正黑體" w:eastAsia="微軟正黑體" w:hAnsi="微軟正黑體" w:cs="Times New Roman"/>
          <w:b/>
          <w:sz w:val="26"/>
          <w:szCs w:val="26"/>
        </w:rPr>
      </w:pPr>
      <w:r w:rsidRPr="000C5F13">
        <w:rPr>
          <w:rFonts w:ascii="Times New Roman" w:eastAsia="微軟正黑體" w:hAnsi="Times New Roman" w:cs="Times New Roman" w:hint="eastAsia"/>
          <w:b/>
          <w:sz w:val="26"/>
          <w:szCs w:val="26"/>
        </w:rPr>
        <w:t>特刊緣起與目的</w:t>
      </w:r>
    </w:p>
    <w:p w:rsidR="002E7245" w:rsidRPr="00A23927" w:rsidRDefault="002E7245" w:rsidP="002E7245">
      <w:pPr>
        <w:pStyle w:val="a7"/>
        <w:spacing w:afterLines="50" w:after="180" w:line="400" w:lineRule="exact"/>
        <w:ind w:leftChars="0" w:left="0" w:firstLineChars="200" w:firstLine="480"/>
        <w:jc w:val="both"/>
        <w:rPr>
          <w:rFonts w:eastAsia="微軟正黑體" w:cstheme="minorHAnsi"/>
          <w:szCs w:val="24"/>
        </w:rPr>
      </w:pPr>
      <w:r w:rsidRPr="00D64EFF">
        <w:rPr>
          <w:rFonts w:eastAsia="微軟正黑體" w:cstheme="minorHAnsi"/>
          <w:szCs w:val="24"/>
        </w:rPr>
        <w:t>聯合國於</w:t>
      </w:r>
      <w:r w:rsidRPr="00D64EFF">
        <w:rPr>
          <w:rFonts w:eastAsia="微軟正黑體" w:cstheme="minorHAnsi"/>
          <w:szCs w:val="24"/>
        </w:rPr>
        <w:t>2015</w:t>
      </w:r>
      <w:r w:rsidRPr="00D64EFF">
        <w:rPr>
          <w:rFonts w:eastAsia="微軟正黑體" w:cstheme="minorHAnsi"/>
          <w:szCs w:val="24"/>
        </w:rPr>
        <w:t>年提出「</w:t>
      </w:r>
      <w:r w:rsidRPr="00D64EFF">
        <w:rPr>
          <w:rFonts w:eastAsia="微軟正黑體" w:cstheme="minorHAnsi"/>
          <w:szCs w:val="24"/>
        </w:rPr>
        <w:t>2030</w:t>
      </w:r>
      <w:r w:rsidRPr="00D64EFF">
        <w:rPr>
          <w:rFonts w:eastAsia="微軟正黑體" w:cstheme="minorHAnsi"/>
          <w:szCs w:val="24"/>
        </w:rPr>
        <w:t>永續發展議程」，</w:t>
      </w:r>
      <w:r>
        <w:rPr>
          <w:rFonts w:eastAsia="微軟正黑體" w:cstheme="minorHAnsi" w:hint="eastAsia"/>
          <w:szCs w:val="24"/>
        </w:rPr>
        <w:t>鼓勵全球各國透過</w:t>
      </w:r>
      <w:r w:rsidRPr="00D64EFF">
        <w:rPr>
          <w:rFonts w:eastAsia="微軟正黑體" w:cstheme="minorHAnsi"/>
          <w:szCs w:val="24"/>
        </w:rPr>
        <w:t>17</w:t>
      </w:r>
      <w:r w:rsidRPr="00D64EFF">
        <w:rPr>
          <w:rFonts w:eastAsia="微軟正黑體" w:cstheme="minorHAnsi"/>
          <w:szCs w:val="24"/>
        </w:rPr>
        <w:t>項永續發展目標</w:t>
      </w:r>
      <w:r>
        <w:rPr>
          <w:rFonts w:eastAsia="微軟正黑體" w:cstheme="minorHAnsi" w:hint="eastAsia"/>
          <w:szCs w:val="24"/>
        </w:rPr>
        <w:t>（</w:t>
      </w:r>
      <w:r w:rsidRPr="00D64EFF">
        <w:rPr>
          <w:rFonts w:eastAsia="微軟正黑體" w:cstheme="minorHAnsi"/>
          <w:szCs w:val="24"/>
        </w:rPr>
        <w:t>Sustaina</w:t>
      </w:r>
      <w:r>
        <w:rPr>
          <w:rFonts w:eastAsia="微軟正黑體" w:cstheme="minorHAnsi"/>
          <w:szCs w:val="24"/>
        </w:rPr>
        <w:t>ble</w:t>
      </w:r>
      <w:r w:rsidRPr="00D64EFF">
        <w:rPr>
          <w:rFonts w:eastAsia="微軟正黑體" w:cstheme="minorHAnsi"/>
          <w:szCs w:val="24"/>
        </w:rPr>
        <w:t xml:space="preserve"> Development Goals, SDGs</w:t>
      </w:r>
      <w:r>
        <w:rPr>
          <w:rFonts w:eastAsia="微軟正黑體" w:cstheme="minorHAnsi" w:hint="eastAsia"/>
          <w:szCs w:val="24"/>
        </w:rPr>
        <w:t>）的追求，藉由包容性的實踐途徑，共同回應</w:t>
      </w:r>
      <w:r w:rsidRPr="00F47176">
        <w:rPr>
          <w:rFonts w:eastAsia="微軟正黑體" w:cstheme="minorHAnsi" w:hint="eastAsia"/>
          <w:szCs w:val="24"/>
        </w:rPr>
        <w:t>氣候變遷、</w:t>
      </w:r>
      <w:r>
        <w:rPr>
          <w:rFonts w:eastAsia="微軟正黑體" w:cstheme="minorHAnsi" w:hint="eastAsia"/>
          <w:szCs w:val="24"/>
        </w:rPr>
        <w:t>貧富差距、社會</w:t>
      </w:r>
      <w:r w:rsidRPr="00F47176">
        <w:rPr>
          <w:rFonts w:eastAsia="微軟正黑體" w:cstheme="minorHAnsi" w:hint="eastAsia"/>
          <w:szCs w:val="24"/>
        </w:rPr>
        <w:t>平權、經濟成長</w:t>
      </w:r>
      <w:r>
        <w:rPr>
          <w:rFonts w:eastAsia="微軟正黑體" w:cstheme="minorHAnsi" w:hint="eastAsia"/>
          <w:szCs w:val="24"/>
        </w:rPr>
        <w:t>等永續性的複雜挑戰。這股追求</w:t>
      </w:r>
      <w:r>
        <w:rPr>
          <w:rFonts w:eastAsia="微軟正黑體" w:cstheme="minorHAnsi" w:hint="eastAsia"/>
          <w:szCs w:val="24"/>
        </w:rPr>
        <w:t>SDGs</w:t>
      </w:r>
      <w:r>
        <w:rPr>
          <w:rFonts w:eastAsia="微軟正黑體" w:cstheme="minorHAnsi" w:hint="eastAsia"/>
          <w:szCs w:val="24"/>
        </w:rPr>
        <w:t>的全球政策風尚，</w:t>
      </w:r>
      <w:r>
        <w:rPr>
          <w:rFonts w:eastAsia="微軟正黑體" w:cstheme="minorHAnsi" w:hint="eastAsia"/>
          <w:szCs w:val="24"/>
        </w:rPr>
        <w:t>2</w:t>
      </w:r>
      <w:r>
        <w:rPr>
          <w:rFonts w:eastAsia="微軟正黑體" w:cstheme="minorHAnsi"/>
          <w:szCs w:val="24"/>
        </w:rPr>
        <w:t>010</w:t>
      </w:r>
      <w:r>
        <w:rPr>
          <w:rFonts w:eastAsia="微軟正黑體" w:cstheme="minorHAnsi" w:hint="eastAsia"/>
          <w:szCs w:val="24"/>
        </w:rPr>
        <w:t>年代中期以來，逐漸吸引多元學術社群的關注，儘管研究視角及重點各異，文獻大致指向</w:t>
      </w:r>
      <w:r w:rsidRPr="00D64EFF">
        <w:rPr>
          <w:rFonts w:eastAsia="微軟正黑體" w:cstheme="minorHAnsi"/>
          <w:szCs w:val="24"/>
        </w:rPr>
        <w:t>「</w:t>
      </w:r>
      <w:r>
        <w:rPr>
          <w:rFonts w:eastAsia="微軟正黑體" w:cstheme="minorHAnsi" w:hint="eastAsia"/>
          <w:szCs w:val="24"/>
        </w:rPr>
        <w:t>永續性的治理</w:t>
      </w:r>
      <w:r w:rsidRPr="00D64EFF">
        <w:rPr>
          <w:rFonts w:eastAsia="微軟正黑體" w:cstheme="minorHAnsi"/>
          <w:szCs w:val="24"/>
        </w:rPr>
        <w:t>」</w:t>
      </w:r>
      <w:r>
        <w:rPr>
          <w:rFonts w:eastAsia="微軟正黑體" w:cstheme="minorHAnsi" w:hint="eastAsia"/>
          <w:szCs w:val="24"/>
        </w:rPr>
        <w:t>研究意義；除了初步揭露永續性的複雜、不同永續性目標間的張力、或者實現永續性目標涉及的跨域</w:t>
      </w:r>
      <w:r w:rsidRPr="006E014A">
        <w:rPr>
          <w:rFonts w:eastAsia="微軟正黑體" w:cstheme="minorHAnsi" w:hint="eastAsia"/>
          <w:szCs w:val="24"/>
        </w:rPr>
        <w:t>特</w:t>
      </w:r>
      <w:r w:rsidRPr="00A436E6">
        <w:rPr>
          <w:rFonts w:eastAsia="微軟正黑體" w:cstheme="minorHAnsi" w:hint="eastAsia"/>
          <w:szCs w:val="24"/>
        </w:rPr>
        <w:t>質</w:t>
      </w:r>
      <w:r>
        <w:rPr>
          <w:rFonts w:eastAsia="微軟正黑體" w:cstheme="minorHAnsi" w:hint="eastAsia"/>
          <w:szCs w:val="24"/>
        </w:rPr>
        <w:t>（</w:t>
      </w:r>
      <w:r w:rsidRPr="00A436E6">
        <w:rPr>
          <w:rFonts w:eastAsia="微軟正黑體" w:cstheme="minorHAnsi" w:hint="eastAsia"/>
          <w:szCs w:val="24"/>
        </w:rPr>
        <w:t>跨學科、跨部門、跨邊界、跨尺度</w:t>
      </w:r>
      <w:r>
        <w:rPr>
          <w:rFonts w:eastAsia="微軟正黑體" w:cstheme="minorHAnsi" w:hint="eastAsia"/>
          <w:szCs w:val="24"/>
        </w:rPr>
        <w:t>）</w:t>
      </w:r>
      <w:r w:rsidRPr="00A436E6">
        <w:rPr>
          <w:rFonts w:eastAsia="微軟正黑體" w:cstheme="minorHAnsi" w:hint="eastAsia"/>
          <w:szCs w:val="24"/>
        </w:rPr>
        <w:t>，</w:t>
      </w:r>
      <w:r>
        <w:rPr>
          <w:rFonts w:eastAsia="微軟正黑體" w:cstheme="minorHAnsi" w:hint="eastAsia"/>
          <w:szCs w:val="24"/>
        </w:rPr>
        <w:t>同時，</w:t>
      </w:r>
      <w:r w:rsidRPr="00A436E6">
        <w:rPr>
          <w:rFonts w:eastAsia="微軟正黑體" w:cstheme="minorHAnsi" w:hint="eastAsia"/>
          <w:szCs w:val="24"/>
        </w:rPr>
        <w:t>指涉</w:t>
      </w:r>
      <w:r w:rsidRPr="00A436E6">
        <w:rPr>
          <w:rFonts w:eastAsia="微軟正黑體" w:cstheme="minorHAnsi"/>
          <w:szCs w:val="24"/>
        </w:rPr>
        <w:t>「</w:t>
      </w:r>
      <w:r w:rsidRPr="00A436E6">
        <w:rPr>
          <w:rFonts w:eastAsia="微軟正黑體" w:cstheme="minorHAnsi" w:hint="eastAsia"/>
          <w:szCs w:val="24"/>
        </w:rPr>
        <w:t>治理」為永續性挑戰的可能解方。</w:t>
      </w:r>
      <w:r>
        <w:rPr>
          <w:rFonts w:eastAsia="微軟正黑體" w:cstheme="minorHAnsi" w:hint="eastAsia"/>
          <w:szCs w:val="24"/>
        </w:rPr>
        <w:t>2</w:t>
      </w:r>
      <w:r>
        <w:rPr>
          <w:rFonts w:eastAsia="微軟正黑體" w:cstheme="minorHAnsi"/>
          <w:szCs w:val="24"/>
        </w:rPr>
        <w:t>023</w:t>
      </w:r>
      <w:r>
        <w:rPr>
          <w:rFonts w:eastAsia="微軟正黑體" w:cstheme="minorHAnsi" w:hint="eastAsia"/>
          <w:szCs w:val="24"/>
        </w:rPr>
        <w:t>年完成之「</w:t>
      </w:r>
      <w:r w:rsidRPr="00A436E6">
        <w:rPr>
          <w:rFonts w:eastAsia="微軟正黑體" w:cstheme="minorHAnsi" w:hint="eastAsia"/>
          <w:szCs w:val="24"/>
        </w:rPr>
        <w:t>國科會區域</w:t>
      </w:r>
      <w:r w:rsidRPr="00D00201">
        <w:rPr>
          <w:rFonts w:eastAsia="微軟正黑體" w:cstheme="minorHAnsi" w:hint="eastAsia"/>
          <w:szCs w:val="24"/>
        </w:rPr>
        <w:t>研究及地理學門前瞻學術研究調查計畫</w:t>
      </w:r>
      <w:r>
        <w:rPr>
          <w:rFonts w:eastAsia="微軟正黑體" w:cstheme="minorHAnsi"/>
          <w:szCs w:val="24"/>
        </w:rPr>
        <w:t>—</w:t>
      </w:r>
      <w:r w:rsidRPr="00D00201">
        <w:rPr>
          <w:rFonts w:eastAsia="微軟正黑體" w:cstheme="minorHAnsi" w:hint="eastAsia"/>
          <w:szCs w:val="24"/>
        </w:rPr>
        <w:t>都市及區域子學門</w:t>
      </w:r>
      <w:r>
        <w:rPr>
          <w:rFonts w:eastAsia="微軟正黑體" w:cstheme="minorHAnsi" w:hint="eastAsia"/>
          <w:szCs w:val="24"/>
        </w:rPr>
        <w:t>」分析，</w:t>
      </w:r>
      <w:r w:rsidRPr="00D00201">
        <w:rPr>
          <w:rFonts w:eastAsia="微軟正黑體" w:cstheme="minorHAnsi" w:hint="eastAsia"/>
          <w:szCs w:val="24"/>
        </w:rPr>
        <w:t>即</w:t>
      </w:r>
      <w:r>
        <w:rPr>
          <w:rFonts w:eastAsia="微軟正黑體" w:cstheme="minorHAnsi" w:hint="eastAsia"/>
          <w:szCs w:val="24"/>
        </w:rPr>
        <w:t>指認</w:t>
      </w:r>
      <w:r w:rsidRPr="00D00201">
        <w:rPr>
          <w:rFonts w:eastAsia="微軟正黑體" w:cstheme="minorHAnsi" w:hint="eastAsia"/>
          <w:szCs w:val="24"/>
        </w:rPr>
        <w:t>「永續性</w:t>
      </w:r>
      <w:r>
        <w:rPr>
          <w:rFonts w:eastAsia="微軟正黑體" w:cstheme="minorHAnsi" w:hint="eastAsia"/>
          <w:szCs w:val="24"/>
        </w:rPr>
        <w:t>的</w:t>
      </w:r>
      <w:r w:rsidRPr="00D00201">
        <w:rPr>
          <w:rFonts w:eastAsia="微軟正黑體" w:cstheme="minorHAnsi" w:hint="eastAsia"/>
          <w:szCs w:val="24"/>
        </w:rPr>
        <w:t>治理」為前瞻研究</w:t>
      </w:r>
      <w:r>
        <w:rPr>
          <w:rFonts w:eastAsia="微軟正黑體" w:cstheme="minorHAnsi" w:hint="eastAsia"/>
          <w:szCs w:val="24"/>
        </w:rPr>
        <w:t>議題重點之一</w:t>
      </w:r>
      <w:r w:rsidRPr="00D00201">
        <w:rPr>
          <w:rFonts w:eastAsia="微軟正黑體" w:cstheme="minorHAnsi" w:hint="eastAsia"/>
          <w:szCs w:val="24"/>
        </w:rPr>
        <w:t>，</w:t>
      </w:r>
      <w:r>
        <w:rPr>
          <w:rFonts w:eastAsia="微軟正黑體" w:cstheme="minorHAnsi" w:hint="eastAsia"/>
          <w:szCs w:val="24"/>
        </w:rPr>
        <w:t>在國內外專家諮詢及工作坊中</w:t>
      </w:r>
      <w:r w:rsidRPr="00D00201">
        <w:rPr>
          <w:rFonts w:eastAsia="微軟正黑體" w:cstheme="minorHAnsi" w:hint="eastAsia"/>
          <w:szCs w:val="24"/>
        </w:rPr>
        <w:t>獲得</w:t>
      </w:r>
      <w:r>
        <w:rPr>
          <w:rFonts w:eastAsia="微軟正黑體" w:cstheme="minorHAnsi" w:hint="eastAsia"/>
          <w:szCs w:val="24"/>
        </w:rPr>
        <w:t>相關</w:t>
      </w:r>
      <w:r w:rsidRPr="00D00201">
        <w:rPr>
          <w:rFonts w:eastAsia="微軟正黑體" w:cstheme="minorHAnsi" w:hint="eastAsia"/>
          <w:szCs w:val="24"/>
        </w:rPr>
        <w:t>學者</w:t>
      </w:r>
      <w:r>
        <w:rPr>
          <w:rFonts w:eastAsia="微軟正黑體" w:cstheme="minorHAnsi" w:hint="eastAsia"/>
          <w:szCs w:val="24"/>
        </w:rPr>
        <w:t>、專家</w:t>
      </w:r>
      <w:r w:rsidRPr="00D00201">
        <w:rPr>
          <w:rFonts w:eastAsia="微軟正黑體" w:cstheme="minorHAnsi" w:hint="eastAsia"/>
          <w:szCs w:val="24"/>
        </w:rPr>
        <w:t>的高度共</w:t>
      </w:r>
      <w:r w:rsidRPr="00A23927">
        <w:rPr>
          <w:rFonts w:eastAsia="微軟正黑體" w:cstheme="minorHAnsi" w:hint="eastAsia"/>
          <w:szCs w:val="24"/>
        </w:rPr>
        <w:t>識，並</w:t>
      </w:r>
      <w:r>
        <w:rPr>
          <w:rFonts w:eastAsia="微軟正黑體" w:cstheme="minorHAnsi" w:hint="eastAsia"/>
          <w:szCs w:val="24"/>
        </w:rPr>
        <w:t>且</w:t>
      </w:r>
      <w:r w:rsidRPr="00A23927">
        <w:rPr>
          <w:rFonts w:eastAsia="微軟正黑體" w:cstheme="minorHAnsi" w:hint="eastAsia"/>
          <w:szCs w:val="24"/>
        </w:rPr>
        <w:t>指出永續性</w:t>
      </w:r>
      <w:r>
        <w:rPr>
          <w:rFonts w:eastAsia="微軟正黑體" w:cstheme="minorHAnsi" w:hint="eastAsia"/>
          <w:szCs w:val="24"/>
        </w:rPr>
        <w:t>的多元</w:t>
      </w:r>
      <w:r w:rsidRPr="00A23927">
        <w:rPr>
          <w:rFonts w:eastAsia="微軟正黑體" w:cstheme="minorHAnsi" w:hint="eastAsia"/>
          <w:szCs w:val="24"/>
        </w:rPr>
        <w:t>相關倡議之在地實踐，交織著全球及地緣政治經濟、國家政策議程、都市及區域治理的複雜動態，有必要深入探究，以反省、深化或擴充都市及區域研究的學術理論發展。</w:t>
      </w:r>
    </w:p>
    <w:p w:rsidR="002E7245" w:rsidRPr="002F55A7" w:rsidRDefault="002E7245" w:rsidP="002E7245">
      <w:pPr>
        <w:pStyle w:val="a7"/>
        <w:spacing w:afterLines="50" w:after="180" w:line="400" w:lineRule="exact"/>
        <w:ind w:leftChars="0" w:left="0" w:firstLineChars="200" w:firstLine="480"/>
        <w:jc w:val="both"/>
        <w:rPr>
          <w:rFonts w:eastAsia="微軟正黑體" w:cstheme="minorHAnsi"/>
          <w:szCs w:val="24"/>
        </w:rPr>
      </w:pPr>
      <w:r>
        <w:rPr>
          <w:rFonts w:eastAsia="微軟正黑體" w:cstheme="minorHAnsi" w:hint="eastAsia"/>
          <w:szCs w:val="24"/>
        </w:rPr>
        <w:t>因此，當</w:t>
      </w:r>
      <w:r>
        <w:rPr>
          <w:rFonts w:eastAsia="微軟正黑體" w:cstheme="minorHAnsi" w:hint="eastAsia"/>
          <w:szCs w:val="24"/>
        </w:rPr>
        <w:t>SDG</w:t>
      </w:r>
      <w:r>
        <w:rPr>
          <w:rFonts w:eastAsia="微軟正黑體" w:cstheme="minorHAnsi"/>
          <w:szCs w:val="24"/>
        </w:rPr>
        <w:t>s</w:t>
      </w:r>
      <w:r>
        <w:rPr>
          <w:rFonts w:eastAsia="微軟正黑體" w:cstheme="minorHAnsi" w:hint="eastAsia"/>
          <w:szCs w:val="24"/>
        </w:rPr>
        <w:t>及相關之</w:t>
      </w:r>
      <w:r w:rsidRPr="009E77E1">
        <w:rPr>
          <w:rFonts w:eastAsia="微軟正黑體" w:cstheme="minorHAnsi" w:hint="eastAsia"/>
          <w:szCs w:val="24"/>
        </w:rPr>
        <w:t>永續性治理</w:t>
      </w:r>
      <w:r>
        <w:rPr>
          <w:rFonts w:eastAsia="微軟正黑體" w:cstheme="minorHAnsi" w:hint="eastAsia"/>
          <w:szCs w:val="24"/>
        </w:rPr>
        <w:t>成為重要的研究視角，另一個待發展或待釐清之議題就是「治理」本身的脈絡性意涵，及其在地化實踐的永續性或不永續性。在前述前瞻</w:t>
      </w:r>
      <w:r w:rsidRPr="00643DE9">
        <w:rPr>
          <w:rFonts w:eastAsia="微軟正黑體" w:cstheme="minorHAnsi" w:hint="eastAsia"/>
          <w:szCs w:val="24"/>
        </w:rPr>
        <w:t>學術研究調查計畫</w:t>
      </w:r>
      <w:r>
        <w:rPr>
          <w:rFonts w:eastAsia="微軟正黑體" w:cstheme="minorHAnsi" w:hint="eastAsia"/>
          <w:szCs w:val="24"/>
        </w:rPr>
        <w:t>中，我們也同樣可以發現，不論在近三年（</w:t>
      </w:r>
      <w:r>
        <w:rPr>
          <w:rFonts w:eastAsia="微軟正黑體" w:cstheme="minorHAnsi"/>
          <w:szCs w:val="24"/>
        </w:rPr>
        <w:t>2020-2022</w:t>
      </w:r>
      <w:r>
        <w:rPr>
          <w:rFonts w:eastAsia="微軟正黑體" w:cstheme="minorHAnsi" w:hint="eastAsia"/>
          <w:szCs w:val="24"/>
        </w:rPr>
        <w:t>）的學門推薦國際期刊的分析，或是國內外專家的共識中，場所、空間及區域治理等相關討論同樣貫穿於各種不同面向，不論是從環境與災害（疫情）治理、城鄉關係與治理機制變革、新形態之智慧化的永續治理或都市轉型等。然而「治理」本身作為一種重要的政策詞彙、論述或政治技術時，我們往往不知道如何理解其在特殊政策或社會文化脈絡下的意涵。例如，近年治理的概念與詞彙</w:t>
      </w:r>
      <w:r>
        <w:rPr>
          <w:rFonts w:eastAsia="微軟正黑體" w:cstheme="minorHAnsi" w:hint="eastAsia"/>
          <w:szCs w:val="24"/>
        </w:rPr>
        <w:lastRenderedPageBreak/>
        <w:t>在各種區域及都市研究領域及政策議程的多元使用，其已經遠超過單純論及</w:t>
      </w:r>
      <w:r w:rsidRPr="00062F54">
        <w:rPr>
          <w:rFonts w:eastAsia="微軟正黑體" w:cstheme="minorHAnsi" w:hint="eastAsia"/>
          <w:szCs w:val="24"/>
        </w:rPr>
        <w:t>政府</w:t>
      </w:r>
      <w:r>
        <w:rPr>
          <w:rFonts w:eastAsia="微軟正黑體" w:cstheme="minorHAnsi" w:hint="eastAsia"/>
          <w:szCs w:val="24"/>
        </w:rPr>
        <w:t>體制</w:t>
      </w:r>
      <w:r w:rsidRPr="00062F54">
        <w:rPr>
          <w:rFonts w:eastAsia="微軟正黑體" w:cstheme="minorHAnsi" w:hint="eastAsia"/>
          <w:szCs w:val="24"/>
        </w:rPr>
        <w:t>或行政</w:t>
      </w:r>
      <w:r>
        <w:rPr>
          <w:rFonts w:eastAsia="微軟正黑體" w:cstheme="minorHAnsi" w:hint="eastAsia"/>
          <w:szCs w:val="24"/>
        </w:rPr>
        <w:t>體系之討論。尤其是在臺灣空間規劃與社會文化脈絡中，究竟有哪些在為尋求更佳治理解方（或共識）之企圖下，所移植或發展的特殊</w:t>
      </w:r>
      <w:r w:rsidRPr="002F55A7">
        <w:rPr>
          <w:rFonts w:eastAsia="微軟正黑體" w:cstheme="minorHAnsi" w:hint="eastAsia"/>
          <w:szCs w:val="24"/>
        </w:rPr>
        <w:t>治理工具、行動方案、</w:t>
      </w:r>
      <w:r>
        <w:rPr>
          <w:rFonts w:eastAsia="微軟正黑體" w:cstheme="minorHAnsi" w:hint="eastAsia"/>
          <w:szCs w:val="24"/>
        </w:rPr>
        <w:t>或制度變革案例</w:t>
      </w:r>
      <w:r>
        <w:rPr>
          <w:rFonts w:eastAsia="微軟正黑體" w:cstheme="minorHAnsi" w:hint="eastAsia"/>
          <w:szCs w:val="24"/>
        </w:rPr>
        <w:t xml:space="preserve">? </w:t>
      </w:r>
      <w:r>
        <w:rPr>
          <w:rFonts w:eastAsia="微軟正黑體" w:cstheme="minorHAnsi" w:hint="eastAsia"/>
          <w:szCs w:val="24"/>
        </w:rPr>
        <w:t>以及這些新的治理解方所能</w:t>
      </w:r>
      <w:r w:rsidRPr="002F55A7">
        <w:rPr>
          <w:rFonts w:eastAsia="微軟正黑體" w:cstheme="minorHAnsi" w:hint="eastAsia"/>
          <w:szCs w:val="24"/>
        </w:rPr>
        <w:t>帶來的具體改變、無法改變與僵固的部分</w:t>
      </w:r>
      <w:r>
        <w:rPr>
          <w:rFonts w:eastAsia="微軟正黑體" w:cstheme="minorHAnsi" w:hint="eastAsia"/>
          <w:szCs w:val="24"/>
        </w:rPr>
        <w:t>？種種這些都挑戰著，我們對於臺灣在地化治理概念的理解，以及對於臺灣真實田野與案例的分析性或反思性考察（不論是從環境生態、都市轉型、或社會文化）。</w:t>
      </w:r>
    </w:p>
    <w:p w:rsidR="002E7245" w:rsidRPr="00D64EFF" w:rsidRDefault="002E7245" w:rsidP="002E7245">
      <w:pPr>
        <w:pStyle w:val="a7"/>
        <w:spacing w:afterLines="50" w:after="180" w:line="400" w:lineRule="exact"/>
        <w:ind w:leftChars="0" w:left="720"/>
        <w:jc w:val="both"/>
        <w:rPr>
          <w:rFonts w:eastAsia="微軟正黑體" w:cstheme="minorHAnsi"/>
          <w:szCs w:val="24"/>
        </w:rPr>
      </w:pPr>
    </w:p>
    <w:p w:rsidR="002E7245" w:rsidRPr="00D64EFF" w:rsidRDefault="002E7245" w:rsidP="002E7245">
      <w:pPr>
        <w:pStyle w:val="a7"/>
        <w:numPr>
          <w:ilvl w:val="0"/>
          <w:numId w:val="1"/>
        </w:numPr>
        <w:spacing w:afterLines="50" w:after="180" w:line="400" w:lineRule="exact"/>
        <w:ind w:leftChars="0"/>
        <w:jc w:val="both"/>
        <w:rPr>
          <w:rFonts w:eastAsia="微軟正黑體" w:cstheme="minorHAnsi"/>
          <w:b/>
          <w:sz w:val="26"/>
          <w:szCs w:val="26"/>
        </w:rPr>
      </w:pPr>
      <w:r w:rsidRPr="00D64EFF">
        <w:rPr>
          <w:rFonts w:eastAsia="微軟正黑體" w:cstheme="minorHAnsi"/>
          <w:b/>
          <w:sz w:val="26"/>
          <w:szCs w:val="26"/>
        </w:rPr>
        <w:t>特刊主題內容</w:t>
      </w:r>
    </w:p>
    <w:p w:rsidR="002E7245" w:rsidRPr="00B8158E" w:rsidRDefault="002E7245" w:rsidP="002E7245">
      <w:pPr>
        <w:pStyle w:val="a7"/>
        <w:spacing w:afterLines="50" w:after="180" w:line="400" w:lineRule="exact"/>
        <w:ind w:leftChars="0" w:left="0" w:firstLineChars="200" w:firstLine="480"/>
        <w:jc w:val="both"/>
        <w:rPr>
          <w:rFonts w:eastAsia="微軟正黑體" w:cstheme="minorHAnsi"/>
          <w:szCs w:val="24"/>
        </w:rPr>
      </w:pPr>
      <w:r>
        <w:rPr>
          <w:rFonts w:eastAsia="微軟正黑體" w:cstheme="minorHAnsi" w:hint="eastAsia"/>
          <w:szCs w:val="24"/>
        </w:rPr>
        <w:t>為深化既有「永續性的治理」研究，並嘗試開拓「治理的永續性」論辯，本特刊徵稿</w:t>
      </w:r>
      <w:r w:rsidRPr="00B8158E">
        <w:rPr>
          <w:rFonts w:eastAsia="微軟正黑體" w:cstheme="minorHAnsi" w:hint="eastAsia"/>
          <w:szCs w:val="24"/>
        </w:rPr>
        <w:t>重點</w:t>
      </w:r>
      <w:r w:rsidRPr="00B8158E">
        <w:rPr>
          <w:rFonts w:eastAsia="微軟正黑體" w:cstheme="minorHAnsi"/>
          <w:szCs w:val="24"/>
        </w:rPr>
        <w:t>如下</w:t>
      </w:r>
      <w:r w:rsidRPr="00B8158E">
        <w:rPr>
          <w:rFonts w:eastAsia="微軟正黑體" w:cstheme="minorHAnsi" w:hint="eastAsia"/>
          <w:szCs w:val="24"/>
        </w:rPr>
        <w:t>：</w:t>
      </w:r>
    </w:p>
    <w:p w:rsidR="002E7245" w:rsidRPr="00B8158E" w:rsidRDefault="002E7245" w:rsidP="002E7245">
      <w:pPr>
        <w:pStyle w:val="a7"/>
        <w:numPr>
          <w:ilvl w:val="1"/>
          <w:numId w:val="1"/>
        </w:numPr>
        <w:spacing w:afterLines="50" w:after="180" w:line="400" w:lineRule="exact"/>
        <w:ind w:leftChars="0"/>
        <w:rPr>
          <w:rFonts w:eastAsia="微軟正黑體" w:cstheme="minorHAnsi"/>
          <w:szCs w:val="24"/>
        </w:rPr>
      </w:pPr>
      <w:bookmarkStart w:id="0" w:name="_GoBack"/>
      <w:r w:rsidRPr="00B8158E">
        <w:rPr>
          <w:rFonts w:eastAsia="微軟正黑體" w:cstheme="minorHAnsi" w:hint="eastAsia"/>
          <w:szCs w:val="24"/>
        </w:rPr>
        <w:t>「</w:t>
      </w:r>
      <w:r w:rsidRPr="00B8158E">
        <w:rPr>
          <w:rFonts w:eastAsia="微軟正黑體" w:cstheme="minorHAnsi"/>
          <w:szCs w:val="24"/>
        </w:rPr>
        <w:t>永續性</w:t>
      </w:r>
      <w:r w:rsidRPr="00B8158E">
        <w:rPr>
          <w:rFonts w:eastAsia="微軟正黑體" w:cstheme="minorHAnsi" w:hint="eastAsia"/>
          <w:szCs w:val="24"/>
        </w:rPr>
        <w:t>的</w:t>
      </w:r>
      <w:r w:rsidRPr="00B8158E">
        <w:rPr>
          <w:rFonts w:eastAsia="微軟正黑體" w:cstheme="minorHAnsi"/>
          <w:szCs w:val="24"/>
        </w:rPr>
        <w:t>治理</w:t>
      </w:r>
      <w:r w:rsidRPr="00B8158E">
        <w:rPr>
          <w:rFonts w:eastAsia="微軟正黑體" w:cstheme="minorHAnsi" w:hint="eastAsia"/>
          <w:szCs w:val="24"/>
        </w:rPr>
        <w:t>」研究之系統性回顧、檢視、批判與反省；</w:t>
      </w:r>
    </w:p>
    <w:bookmarkEnd w:id="0"/>
    <w:p w:rsidR="002E7245" w:rsidRPr="00B8158E" w:rsidRDefault="002E7245" w:rsidP="002E7245">
      <w:pPr>
        <w:pStyle w:val="a7"/>
        <w:numPr>
          <w:ilvl w:val="1"/>
          <w:numId w:val="1"/>
        </w:numPr>
        <w:spacing w:afterLines="50" w:after="180" w:line="400" w:lineRule="exact"/>
        <w:ind w:leftChars="0"/>
        <w:jc w:val="both"/>
        <w:rPr>
          <w:rFonts w:eastAsia="微軟正黑體" w:cstheme="minorHAnsi"/>
          <w:szCs w:val="24"/>
        </w:rPr>
      </w:pPr>
      <w:r w:rsidRPr="00B8158E">
        <w:rPr>
          <w:rFonts w:eastAsia="微軟正黑體" w:cstheme="minorHAnsi" w:hint="eastAsia"/>
          <w:szCs w:val="24"/>
        </w:rPr>
        <w:t>當前臺灣永續性之關鍵議題及其治理挑戰</w:t>
      </w:r>
      <w:r>
        <w:rPr>
          <w:rFonts w:eastAsia="微軟正黑體" w:cstheme="minorHAnsi" w:hint="eastAsia"/>
          <w:szCs w:val="24"/>
        </w:rPr>
        <w:t>（</w:t>
      </w:r>
      <w:r w:rsidRPr="00B8158E">
        <w:rPr>
          <w:rFonts w:eastAsia="微軟正黑體" w:cstheme="minorHAnsi" w:hint="eastAsia"/>
          <w:szCs w:val="24"/>
        </w:rPr>
        <w:t>例如：能源轉型、災害與健康、智慧共享、地方創生、城鄉關係、政策流轉或非西方的都市主義等</w:t>
      </w:r>
      <w:r>
        <w:rPr>
          <w:rFonts w:eastAsia="微軟正黑體" w:cstheme="minorHAnsi" w:hint="eastAsia"/>
          <w:szCs w:val="24"/>
        </w:rPr>
        <w:t>）</w:t>
      </w:r>
      <w:r w:rsidRPr="00B8158E">
        <w:rPr>
          <w:rFonts w:eastAsia="微軟正黑體" w:cstheme="minorHAnsi" w:hint="eastAsia"/>
          <w:szCs w:val="24"/>
        </w:rPr>
        <w:t>；</w:t>
      </w:r>
    </w:p>
    <w:p w:rsidR="002E7245" w:rsidRPr="00B8158E" w:rsidRDefault="002E7245" w:rsidP="002E7245">
      <w:pPr>
        <w:pStyle w:val="a7"/>
        <w:numPr>
          <w:ilvl w:val="1"/>
          <w:numId w:val="1"/>
        </w:numPr>
        <w:spacing w:afterLines="50" w:after="180" w:line="400" w:lineRule="exact"/>
        <w:ind w:leftChars="0"/>
        <w:jc w:val="both"/>
        <w:rPr>
          <w:rFonts w:eastAsia="微軟正黑體" w:cstheme="minorHAnsi"/>
          <w:szCs w:val="24"/>
        </w:rPr>
      </w:pPr>
      <w:r w:rsidRPr="00B8158E">
        <w:rPr>
          <w:rFonts w:eastAsia="微軟正黑體" w:cstheme="minorHAnsi" w:hint="eastAsia"/>
          <w:szCs w:val="24"/>
        </w:rPr>
        <w:t>以政府體制變革、民眾參與、社區動員、多元權力關係人等治理變革案例，建構臺灣在不同議題上理解與實踐治理概念的的特殊性；</w:t>
      </w:r>
    </w:p>
    <w:p w:rsidR="002E7245" w:rsidRPr="00F535C2" w:rsidRDefault="002E7245" w:rsidP="002E7245">
      <w:pPr>
        <w:pStyle w:val="a7"/>
        <w:numPr>
          <w:ilvl w:val="1"/>
          <w:numId w:val="1"/>
        </w:numPr>
        <w:spacing w:afterLines="50" w:after="180" w:line="400" w:lineRule="exact"/>
        <w:ind w:leftChars="0"/>
        <w:jc w:val="both"/>
        <w:rPr>
          <w:rFonts w:eastAsia="微軟正黑體" w:cstheme="minorHAnsi"/>
          <w:szCs w:val="24"/>
        </w:rPr>
      </w:pPr>
      <w:r>
        <w:rPr>
          <w:rFonts w:eastAsia="微軟正黑體" w:cstheme="minorHAnsi" w:hint="eastAsia"/>
          <w:szCs w:val="24"/>
        </w:rPr>
        <w:t>針對規劃相關領域的各種治理概念或論述的使用與落實</w:t>
      </w:r>
      <w:r w:rsidRPr="00F535C2">
        <w:rPr>
          <w:rFonts w:eastAsia="微軟正黑體" w:cstheme="minorHAnsi" w:hint="eastAsia"/>
          <w:szCs w:val="24"/>
        </w:rPr>
        <w:t>，提供分析性或反思性的討論。</w:t>
      </w:r>
    </w:p>
    <w:p w:rsidR="002E7245" w:rsidRPr="00395618" w:rsidRDefault="002E7245" w:rsidP="002E7245">
      <w:pPr>
        <w:spacing w:afterLines="50" w:after="180" w:line="400" w:lineRule="exact"/>
        <w:jc w:val="both"/>
        <w:rPr>
          <w:rFonts w:eastAsia="微軟正黑體" w:cstheme="minorHAnsi"/>
          <w:b/>
          <w:sz w:val="26"/>
          <w:szCs w:val="26"/>
        </w:rPr>
      </w:pPr>
    </w:p>
    <w:p w:rsidR="002E7245" w:rsidRPr="00FC0BC4" w:rsidRDefault="002E7245" w:rsidP="002E7245">
      <w:pPr>
        <w:pStyle w:val="a7"/>
        <w:numPr>
          <w:ilvl w:val="0"/>
          <w:numId w:val="1"/>
        </w:numPr>
        <w:spacing w:afterLines="40" w:after="144" w:line="400" w:lineRule="exact"/>
        <w:ind w:leftChars="0"/>
        <w:jc w:val="both"/>
        <w:rPr>
          <w:rFonts w:ascii="微軟正黑體" w:eastAsia="微軟正黑體" w:hAnsi="微軟正黑體" w:cs="Times New Roman"/>
          <w:b/>
          <w:sz w:val="26"/>
          <w:szCs w:val="26"/>
        </w:rPr>
      </w:pPr>
      <w:r w:rsidRPr="00FC0BC4">
        <w:rPr>
          <w:rFonts w:ascii="微軟正黑體" w:eastAsia="微軟正黑體" w:hAnsi="微軟正黑體" w:cs="Times New Roman" w:hint="eastAsia"/>
          <w:b/>
          <w:sz w:val="26"/>
          <w:szCs w:val="26"/>
        </w:rPr>
        <w:t>來稿須知</w:t>
      </w:r>
    </w:p>
    <w:p w:rsidR="002E7245" w:rsidRPr="00A12EE0" w:rsidRDefault="002E7245" w:rsidP="00A12EE0">
      <w:pPr>
        <w:pStyle w:val="Default"/>
      </w:pPr>
      <w:r w:rsidRPr="001E2A05">
        <w:rPr>
          <w:rFonts w:ascii="Times New Roman" w:hAnsi="Times New Roman" w:cs="Times New Roman"/>
        </w:rPr>
        <w:t>徵稿截止日期：</w:t>
      </w:r>
      <w:r w:rsidRPr="00E50F69">
        <w:rPr>
          <w:rFonts w:ascii="Times New Roman" w:eastAsia="SimSun" w:hAnsi="Times New Roman" w:cs="Times New Roman" w:hint="eastAsia"/>
          <w:u w:val="single"/>
        </w:rPr>
        <w:t xml:space="preserve"> </w:t>
      </w:r>
      <w:r w:rsidRPr="00E50F69">
        <w:rPr>
          <w:rFonts w:ascii="Times New Roman" w:hAnsi="Times New Roman" w:cs="Times New Roman" w:hint="eastAsia"/>
          <w:b/>
          <w:u w:val="single"/>
        </w:rPr>
        <w:t>2</w:t>
      </w:r>
      <w:r w:rsidRPr="00006920">
        <w:rPr>
          <w:rFonts w:ascii="Times New Roman" w:hAnsi="Times New Roman" w:cs="Times New Roman" w:hint="eastAsia"/>
          <w:b/>
          <w:u w:val="single"/>
        </w:rPr>
        <w:t>0</w:t>
      </w:r>
      <w:r>
        <w:rPr>
          <w:rFonts w:ascii="Times New Roman" w:hAnsi="Times New Roman" w:cs="Times New Roman"/>
          <w:b/>
          <w:u w:val="single"/>
        </w:rPr>
        <w:t>24</w:t>
      </w:r>
      <w:r w:rsidRPr="00006920">
        <w:rPr>
          <w:rFonts w:ascii="Times New Roman" w:hAnsi="Times New Roman" w:cs="Times New Roman"/>
          <w:b/>
          <w:u w:val="single"/>
        </w:rPr>
        <w:t>年</w:t>
      </w:r>
      <w:r>
        <w:rPr>
          <w:rFonts w:ascii="Times New Roman" w:hAnsi="Times New Roman" w:cs="Times New Roman"/>
          <w:b/>
          <w:u w:val="single"/>
        </w:rPr>
        <w:t xml:space="preserve"> 2 </w:t>
      </w:r>
      <w:r w:rsidRPr="00C96460">
        <w:rPr>
          <w:rFonts w:ascii="Times New Roman" w:hAnsi="Times New Roman" w:cs="Times New Roman"/>
          <w:b/>
          <w:u w:val="single"/>
        </w:rPr>
        <w:t>月</w:t>
      </w:r>
      <w:r>
        <w:rPr>
          <w:rFonts w:ascii="Times New Roman" w:hAnsi="Times New Roman" w:cs="Times New Roman"/>
          <w:b/>
          <w:u w:val="single"/>
        </w:rPr>
        <w:t>24</w:t>
      </w:r>
      <w:r w:rsidRPr="00C96460">
        <w:rPr>
          <w:rFonts w:ascii="Times New Roman" w:hAnsi="Times New Roman" w:cs="Times New Roman"/>
          <w:b/>
          <w:u w:val="single"/>
        </w:rPr>
        <w:t>日</w:t>
      </w:r>
      <w:r>
        <w:rPr>
          <w:rFonts w:ascii="Times New Roman" w:eastAsia="SimSun" w:hAnsi="Times New Roman" w:cs="Times New Roman" w:hint="eastAsia"/>
          <w:b/>
          <w:u w:val="single"/>
        </w:rPr>
        <w:t xml:space="preserve"> </w:t>
      </w:r>
      <w:r w:rsidR="00A12EE0">
        <w:rPr>
          <w:rFonts w:hint="eastAsia"/>
          <w:sz w:val="23"/>
          <w:szCs w:val="23"/>
        </w:rPr>
        <w:t>（</w:t>
      </w:r>
      <w:r w:rsidR="00A12EE0" w:rsidRPr="00C669DF">
        <w:rPr>
          <w:rFonts w:hint="eastAsia"/>
          <w:color w:val="4472C4" w:themeColor="accent5"/>
          <w:sz w:val="23"/>
          <w:szCs w:val="23"/>
        </w:rPr>
        <w:t>因故順延至</w:t>
      </w:r>
      <w:r w:rsidR="00A12EE0" w:rsidRPr="00C669DF">
        <w:rPr>
          <w:rFonts w:ascii="Times New Roman" w:hAnsi="Times New Roman" w:cs="Times New Roman"/>
          <w:b/>
          <w:bCs/>
          <w:color w:val="4472C4" w:themeColor="accent5"/>
          <w:sz w:val="23"/>
          <w:szCs w:val="23"/>
        </w:rPr>
        <w:t>2024</w:t>
      </w:r>
      <w:r w:rsidR="00A12EE0" w:rsidRPr="00C669DF">
        <w:rPr>
          <w:rFonts w:hAnsi="Times New Roman" w:hint="eastAsia"/>
          <w:b/>
          <w:color w:val="4472C4" w:themeColor="accent5"/>
          <w:sz w:val="23"/>
          <w:szCs w:val="23"/>
        </w:rPr>
        <w:t>年</w:t>
      </w:r>
      <w:r w:rsidR="00A12EE0" w:rsidRPr="00C669DF">
        <w:rPr>
          <w:rFonts w:ascii="Times New Roman" w:hAnsi="Times New Roman" w:cs="Times New Roman"/>
          <w:b/>
          <w:bCs/>
          <w:color w:val="4472C4" w:themeColor="accent5"/>
          <w:sz w:val="23"/>
          <w:szCs w:val="23"/>
        </w:rPr>
        <w:t>6</w:t>
      </w:r>
      <w:r w:rsidR="00A12EE0" w:rsidRPr="00C669DF">
        <w:rPr>
          <w:rFonts w:hAnsi="Times New Roman" w:hint="eastAsia"/>
          <w:b/>
          <w:color w:val="4472C4" w:themeColor="accent5"/>
          <w:sz w:val="23"/>
          <w:szCs w:val="23"/>
        </w:rPr>
        <w:t>月</w:t>
      </w:r>
      <w:r w:rsidR="00A12EE0" w:rsidRPr="00C669DF">
        <w:rPr>
          <w:rFonts w:ascii="Times New Roman" w:hAnsi="Times New Roman" w:cs="Times New Roman"/>
          <w:b/>
          <w:bCs/>
          <w:color w:val="4472C4" w:themeColor="accent5"/>
          <w:sz w:val="23"/>
          <w:szCs w:val="23"/>
        </w:rPr>
        <w:t>30</w:t>
      </w:r>
      <w:r w:rsidR="00A12EE0" w:rsidRPr="00C669DF">
        <w:rPr>
          <w:rFonts w:hAnsi="Times New Roman" w:hint="eastAsia"/>
          <w:b/>
          <w:color w:val="4472C4" w:themeColor="accent5"/>
          <w:sz w:val="23"/>
          <w:szCs w:val="23"/>
        </w:rPr>
        <w:t>日</w:t>
      </w:r>
      <w:r w:rsidR="00A12EE0">
        <w:rPr>
          <w:rFonts w:hAnsi="Times New Roman" w:hint="eastAsia"/>
          <w:sz w:val="23"/>
          <w:szCs w:val="23"/>
        </w:rPr>
        <w:t>）</w:t>
      </w:r>
      <w:r w:rsidRPr="00091AE7">
        <w:rPr>
          <w:rFonts w:ascii="Times New Roman" w:hAnsi="Times New Roman" w:cs="Times New Roman"/>
          <w:b/>
        </w:rPr>
        <w:t>。</w:t>
      </w:r>
      <w:r>
        <w:rPr>
          <w:rFonts w:ascii="Times New Roman" w:hAnsi="Times New Roman" w:cs="Times New Roman" w:hint="eastAsia"/>
          <w:b/>
        </w:rPr>
        <w:t>隨到隨審，歡迎及早投稿。</w:t>
      </w:r>
    </w:p>
    <w:p w:rsidR="002E7245" w:rsidRPr="00D766A3" w:rsidRDefault="002E7245" w:rsidP="002E7245">
      <w:pPr>
        <w:pStyle w:val="a7"/>
        <w:numPr>
          <w:ilvl w:val="0"/>
          <w:numId w:val="2"/>
        </w:numPr>
        <w:adjustRightInd w:val="0"/>
        <w:snapToGrid w:val="0"/>
        <w:spacing w:line="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D766A3">
        <w:rPr>
          <w:rFonts w:ascii="Times New Roman" w:eastAsia="標楷體" w:hAnsi="Times New Roman" w:cs="Times New Roman"/>
          <w:szCs w:val="24"/>
        </w:rPr>
        <w:t>本刊不收取投稿費用，相關詳細事項請見本刊</w:t>
      </w:r>
      <w:r w:rsidRPr="00D766A3">
        <w:rPr>
          <w:rFonts w:ascii="Times New Roman" w:eastAsia="標楷體" w:hAnsi="Times New Roman" w:cs="Times New Roman"/>
          <w:b/>
          <w:szCs w:val="24"/>
        </w:rPr>
        <w:t>撰稿須知</w:t>
      </w:r>
      <w:r w:rsidRPr="00D766A3"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hyperlink r:id="rId7" w:history="1">
        <w:r w:rsidRPr="00C669DF">
          <w:rPr>
            <w:rStyle w:val="a8"/>
            <w:rFonts w:ascii="Times New Roman" w:eastAsia="標楷體" w:hAnsi="Times New Roman" w:cs="Times New Roman"/>
            <w:color w:val="4472C4" w:themeColor="accent5"/>
          </w:rPr>
          <w:t>https://www.ipress.tw/J0226?pWebID=1398&amp;mSeq=3</w:t>
        </w:r>
        <w:r w:rsidRPr="00C669DF">
          <w:rPr>
            <w:rStyle w:val="a8"/>
            <w:rFonts w:ascii="Times New Roman" w:eastAsia="標楷體" w:hAnsi="Times New Roman" w:cs="Times New Roman"/>
            <w:color w:val="4472C4" w:themeColor="accent5"/>
            <w:u w:val="none"/>
          </w:rPr>
          <w:t xml:space="preserve"> </w:t>
        </w:r>
        <w:r w:rsidRPr="00C669DF">
          <w:rPr>
            <w:rStyle w:val="a8"/>
            <w:rFonts w:ascii="Times New Roman" w:eastAsia="標楷體" w:hAnsi="Times New Roman" w:cs="Times New Roman"/>
            <w:color w:val="auto"/>
            <w:szCs w:val="24"/>
            <w:u w:val="none"/>
          </w:rPr>
          <w:t xml:space="preserve">) </w:t>
        </w:r>
        <w:r w:rsidRPr="00C669DF">
          <w:rPr>
            <w:rStyle w:val="a8"/>
            <w:rFonts w:ascii="Times New Roman" w:eastAsia="標楷體" w:hAnsi="Times New Roman" w:cs="Times New Roman"/>
            <w:color w:val="auto"/>
            <w:szCs w:val="24"/>
            <w:u w:val="none"/>
          </w:rPr>
          <w:t>及</w:t>
        </w:r>
        <w:r w:rsidRPr="00C669DF">
          <w:rPr>
            <w:rStyle w:val="a8"/>
            <w:rFonts w:ascii="Times New Roman" w:eastAsia="標楷體" w:hAnsi="Times New Roman" w:cs="Times New Roman"/>
            <w:b/>
            <w:color w:val="auto"/>
            <w:szCs w:val="24"/>
            <w:u w:val="none"/>
          </w:rPr>
          <w:t>稿約</w:t>
        </w:r>
      </w:hyperlink>
      <w:r w:rsidRPr="00C669DF">
        <w:rPr>
          <w:rFonts w:ascii="Times New Roman" w:eastAsia="標楷體" w:hAnsi="Times New Roman" w:cs="Times New Roman"/>
          <w:szCs w:val="24"/>
        </w:rPr>
        <w:t>(</w:t>
      </w:r>
      <w:r w:rsidRPr="00C669DF">
        <w:rPr>
          <w:rFonts w:ascii="Times New Roman" w:eastAsia="標楷體" w:hAnsi="Times New Roman" w:cs="Times New Roman"/>
          <w:color w:val="4472C4" w:themeColor="accent5"/>
          <w:szCs w:val="24"/>
        </w:rPr>
        <w:t xml:space="preserve"> </w:t>
      </w:r>
      <w:hyperlink r:id="rId8" w:history="1">
        <w:r w:rsidRPr="00C669DF">
          <w:rPr>
            <w:rStyle w:val="a8"/>
            <w:rFonts w:ascii="Times New Roman" w:eastAsia="標楷體" w:hAnsi="Times New Roman" w:cs="Times New Roman"/>
            <w:color w:val="4472C4" w:themeColor="accent5"/>
          </w:rPr>
          <w:t>https://www.ipress.tw/J0226?pWebID=1405&amp;mSeq=3</w:t>
        </w:r>
      </w:hyperlink>
      <w:r w:rsidRPr="00C669DF">
        <w:rPr>
          <w:color w:val="4472C4" w:themeColor="accent5"/>
        </w:rPr>
        <w:t xml:space="preserve"> </w:t>
      </w:r>
      <w:r w:rsidRPr="00D766A3">
        <w:rPr>
          <w:rFonts w:ascii="Times New Roman" w:eastAsia="標楷體" w:hAnsi="Times New Roman" w:cs="Times New Roman"/>
          <w:szCs w:val="24"/>
        </w:rPr>
        <w:t>)</w:t>
      </w:r>
      <w:r w:rsidRPr="00D766A3">
        <w:rPr>
          <w:rFonts w:ascii="Times New Roman" w:eastAsia="標楷體" w:hAnsi="Times New Roman" w:cs="Times New Roman"/>
          <w:szCs w:val="24"/>
        </w:rPr>
        <w:t>。</w:t>
      </w:r>
    </w:p>
    <w:p w:rsidR="002E7245" w:rsidRPr="00D766A3" w:rsidRDefault="002E7245" w:rsidP="002E7245">
      <w:pPr>
        <w:pStyle w:val="a7"/>
        <w:numPr>
          <w:ilvl w:val="0"/>
          <w:numId w:val="2"/>
        </w:numPr>
        <w:adjustRightInd w:val="0"/>
        <w:snapToGrid w:val="0"/>
        <w:spacing w:line="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766A3">
        <w:rPr>
          <w:rFonts w:ascii="Times New Roman" w:eastAsia="標楷體" w:hAnsi="Times New Roman" w:cs="Times New Roman"/>
          <w:szCs w:val="24"/>
        </w:rPr>
        <w:t>來稿請註明投稿：</w:t>
      </w:r>
      <w:r w:rsidRPr="00D766A3">
        <w:rPr>
          <w:rFonts w:ascii="Times New Roman" w:eastAsia="標楷體" w:hAnsi="Times New Roman" w:cs="Times New Roman"/>
          <w:b/>
          <w:szCs w:val="24"/>
          <w:u w:val="single"/>
        </w:rPr>
        <w:t>永續性的治理／治理的永續性</w:t>
      </w:r>
      <w:r w:rsidRPr="00D766A3">
        <w:rPr>
          <w:rFonts w:ascii="Times New Roman" w:eastAsia="標楷體" w:hAnsi="Times New Roman" w:cs="Times New Roman"/>
          <w:b/>
          <w:szCs w:val="24"/>
          <w:u w:val="single"/>
        </w:rPr>
        <w:t xml:space="preserve"> </w:t>
      </w:r>
      <w:r w:rsidRPr="00D766A3">
        <w:rPr>
          <w:rFonts w:ascii="Times New Roman" w:eastAsia="標楷體" w:hAnsi="Times New Roman" w:cs="Times New Roman"/>
          <w:szCs w:val="24"/>
        </w:rPr>
        <w:t>特刊。</w:t>
      </w:r>
    </w:p>
    <w:p w:rsidR="002E7245" w:rsidRPr="00D766A3" w:rsidRDefault="002E7245" w:rsidP="002E7245">
      <w:pPr>
        <w:pStyle w:val="a7"/>
        <w:numPr>
          <w:ilvl w:val="0"/>
          <w:numId w:val="2"/>
        </w:numPr>
        <w:adjustRightInd w:val="0"/>
        <w:snapToGrid w:val="0"/>
        <w:spacing w:line="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766A3">
        <w:rPr>
          <w:rFonts w:ascii="Times New Roman" w:eastAsia="標楷體" w:hAnsi="Times New Roman" w:cs="Times New Roman"/>
          <w:color w:val="000000" w:themeColor="text1"/>
          <w:szCs w:val="24"/>
        </w:rPr>
        <w:t>為統一收稿，來稿請至</w:t>
      </w:r>
      <w:hyperlink r:id="rId9" w:tgtFrame="_blank" w:history="1">
        <w:r w:rsidRPr="00C669DF">
          <w:rPr>
            <w:rStyle w:val="a8"/>
            <w:rFonts w:ascii="Times New Roman" w:eastAsia="標楷體" w:hAnsi="Times New Roman" w:cs="Times New Roman"/>
            <w:color w:val="4472C4" w:themeColor="accent5"/>
            <w:szCs w:val="24"/>
          </w:rPr>
          <w:t>https://www.ipress.tw/J0226</w:t>
        </w:r>
      </w:hyperlink>
      <w:r w:rsidRPr="00D766A3">
        <w:rPr>
          <w:rFonts w:ascii="Times New Roman" w:eastAsia="標楷體" w:hAnsi="Times New Roman" w:cs="Times New Roman"/>
          <w:szCs w:val="24"/>
        </w:rPr>
        <w:t>進行投稿作業，文章類型</w:t>
      </w:r>
      <w:r w:rsidRPr="00D766A3">
        <w:rPr>
          <w:rFonts w:ascii="Times New Roman" w:eastAsia="標楷體" w:hAnsi="Times New Roman" w:cs="Times New Roman"/>
          <w:color w:val="000000" w:themeColor="text1"/>
          <w:szCs w:val="24"/>
        </w:rPr>
        <w:t>請選擇為</w:t>
      </w:r>
      <w:r w:rsidRPr="00D766A3">
        <w:rPr>
          <w:rFonts w:ascii="Times New Roman" w:eastAsia="標楷體" w:hAnsi="Times New Roman" w:cs="Times New Roman"/>
          <w:szCs w:val="24"/>
        </w:rPr>
        <w:t xml:space="preserve"> </w:t>
      </w:r>
      <w:r w:rsidRPr="00D766A3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特刊</w:t>
      </w:r>
      <w:r w:rsidRPr="00D766A3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-</w:t>
      </w:r>
      <w:r w:rsidRPr="00D766A3">
        <w:rPr>
          <w:rFonts w:ascii="Times New Roman" w:eastAsia="標楷體" w:hAnsi="Times New Roman" w:cs="Times New Roman"/>
          <w:b/>
          <w:szCs w:val="24"/>
          <w:u w:val="single"/>
        </w:rPr>
        <w:t>永續性的治理／治理的永續性</w:t>
      </w:r>
      <w:r w:rsidRPr="00D766A3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FC1E9F" w:rsidRPr="002E7245" w:rsidRDefault="00FC1E9F"/>
    <w:sectPr w:rsidR="00FC1E9F" w:rsidRPr="002E72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5C" w:rsidRDefault="00E0195C" w:rsidP="002E7245">
      <w:r>
        <w:separator/>
      </w:r>
    </w:p>
  </w:endnote>
  <w:endnote w:type="continuationSeparator" w:id="0">
    <w:p w:rsidR="00E0195C" w:rsidRDefault="00E0195C" w:rsidP="002E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HeiBold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5C" w:rsidRDefault="00E0195C" w:rsidP="002E7245">
      <w:r>
        <w:separator/>
      </w:r>
    </w:p>
  </w:footnote>
  <w:footnote w:type="continuationSeparator" w:id="0">
    <w:p w:rsidR="00E0195C" w:rsidRDefault="00E0195C" w:rsidP="002E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5EBA"/>
    <w:multiLevelType w:val="hybridMultilevel"/>
    <w:tmpl w:val="F7505C5C"/>
    <w:lvl w:ilvl="0" w:tplc="AE22CF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9C84B76">
      <w:start w:val="1"/>
      <w:numFmt w:val="taiwaneseCountingThousand"/>
      <w:lvlText w:val="(%2)"/>
      <w:lvlJc w:val="left"/>
      <w:pPr>
        <w:ind w:left="92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684215"/>
    <w:multiLevelType w:val="hybridMultilevel"/>
    <w:tmpl w:val="7B866B20"/>
    <w:lvl w:ilvl="0" w:tplc="45AEB86C">
      <w:start w:val="1"/>
      <w:numFmt w:val="taiwaneseCountingThousand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B9"/>
    <w:rsid w:val="002E7245"/>
    <w:rsid w:val="004267F3"/>
    <w:rsid w:val="00684980"/>
    <w:rsid w:val="00A12EE0"/>
    <w:rsid w:val="00C54C25"/>
    <w:rsid w:val="00C669DF"/>
    <w:rsid w:val="00D00C31"/>
    <w:rsid w:val="00E0195C"/>
    <w:rsid w:val="00F340B9"/>
    <w:rsid w:val="00F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53B0C7-C907-4004-A994-1037E128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2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72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7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7245"/>
    <w:rPr>
      <w:sz w:val="20"/>
      <w:szCs w:val="20"/>
    </w:rPr>
  </w:style>
  <w:style w:type="paragraph" w:styleId="a7">
    <w:name w:val="List Paragraph"/>
    <w:basedOn w:val="a"/>
    <w:uiPriority w:val="34"/>
    <w:qFormat/>
    <w:rsid w:val="002E7245"/>
    <w:pPr>
      <w:ind w:leftChars="200" w:left="480"/>
    </w:pPr>
  </w:style>
  <w:style w:type="character" w:styleId="a8">
    <w:name w:val="Hyperlink"/>
    <w:basedOn w:val="a0"/>
    <w:uiPriority w:val="99"/>
    <w:unhideWhenUsed/>
    <w:rsid w:val="002E7245"/>
    <w:rPr>
      <w:color w:val="0563C1" w:themeColor="hyperlink"/>
      <w:u w:val="single"/>
    </w:rPr>
  </w:style>
  <w:style w:type="paragraph" w:customStyle="1" w:styleId="Default">
    <w:name w:val="Default"/>
    <w:rsid w:val="00A12E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FollowedHyperlink"/>
    <w:basedOn w:val="a0"/>
    <w:uiPriority w:val="99"/>
    <w:semiHidden/>
    <w:unhideWhenUsed/>
    <w:rsid w:val="00C54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ess.tw/J0226?pWebID=1405&amp;mSeq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ress.tw/J0226?pWebID=1398&amp;mSeq=3%20)%20&#21450;&#31295;&#3200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press.tw/J022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NTPUUP</dc:creator>
  <cp:keywords/>
  <dc:description/>
  <cp:lastModifiedBy>NTPUUP</cp:lastModifiedBy>
  <cp:revision>3</cp:revision>
  <dcterms:created xsi:type="dcterms:W3CDTF">2024-02-18T06:49:00Z</dcterms:created>
  <dcterms:modified xsi:type="dcterms:W3CDTF">2024-02-20T05:45:00Z</dcterms:modified>
</cp:coreProperties>
</file>